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BC1F" w14:textId="77777777" w:rsidR="00E41785" w:rsidRPr="00E41785" w:rsidRDefault="00E41785" w:rsidP="00FB7D47">
      <w:pPr>
        <w:pStyle w:val="NormalWeb"/>
        <w:rPr>
          <w:rFonts w:asciiTheme="minorHAnsi" w:eastAsiaTheme="minorHAnsi" w:hAnsiTheme="minorHAnsi" w:cstheme="minorHAnsi"/>
          <w:b/>
          <w:sz w:val="22"/>
          <w:szCs w:val="22"/>
          <w:lang w:val="fr-FR" w:eastAsia="en-US"/>
        </w:rPr>
      </w:pPr>
      <w:r w:rsidRPr="00E41785">
        <w:rPr>
          <w:rFonts w:asciiTheme="minorHAnsi" w:eastAsiaTheme="minorHAnsi" w:hAnsiTheme="minorHAnsi" w:cstheme="minorHAnsi"/>
          <w:b/>
          <w:sz w:val="22"/>
          <w:szCs w:val="22"/>
          <w:lang w:val="fr-FR" w:eastAsia="en-US"/>
        </w:rPr>
        <w:t>Modernisation portuaire : la Douane malagasy trace la voie d’un commerce plus fluide et plus sûr</w:t>
      </w:r>
    </w:p>
    <w:p w14:paraId="2ADD67BA"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Le secteur portuaire de Madagascar, véritable poumon du commerce extérieur, entame une transformation majeure. La Direction Générale des Douanes (DGD) vient de franchir une étape décisive avec le lancement d’un vaste diagnostic portuaire visant à simplifier les procédures, fluidifier les échanges et renforcer la sécurité aux frontières. Cette initiative s’inscrit dans le cadre d’un accord tripartite réunissant la Banque africaine de développement (BAD), le Bureau des Nations unies pour les services d’appui aux projets (UNOPS) et le Gouvernement malagasy.</w:t>
      </w:r>
    </w:p>
    <w:p w14:paraId="0AE11308"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Entre juillet et août 2025, une équipe composée d’experts nationaux et internationaux a sillonné neuf ports stratégiques : Antsiranana, Vohemar, Sambava, Antalaha, Nosy-Be, Mahajanga, Toamasina, Toliara et Tolagnaro. Ces missions ont combiné visites de terrain, entretiens approfondis avec les acteurs portuaires et analyses documentaires, afin d’établir un état des lieux précis des infrastructures et des procédures douanières.</w:t>
      </w:r>
    </w:p>
    <w:p w14:paraId="77A3BFD1"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Le 5 septembre 2025, les résultats de cette étude ont été présentés aux parties prenantes. Le rapport souligne que la Douane malagasy est globalement alignée sur les standards internationaux, tout en mettant en évidence des marges d’amélioration. Chaque port présente des réalités propres : congestion persistante à Toamasina, faible dématérialisation des procédures à Antsiranana et à Toliara, infrastructures vieillissantes et envasement à Mahajanga.</w:t>
      </w:r>
    </w:p>
    <w:p w14:paraId="6002B1AE"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Au-delà des quais, le diagnostic met également en lumière une autre vulnérabilité : l’existence de vastes zones frontalières non occupées, échappant au contrôle de l’État et facilitant les flux illicites. Pour y remédier, l’étude recommande un plan de normalisation et de sécurisation de ces espaces sensibles, indispensable pour consolider l’intégrité territoriale et freiner la contrebande.</w:t>
      </w:r>
    </w:p>
    <w:p w14:paraId="62674AAF"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Cette démarche dépasse le simple constat technique. Elle ouvre la voie à une réforme ambitieuse du système portuaire, avec pour objectif de réduire les délais et les coûts des opérations, d’accroître la transparence des procédures et de renforcer la compétitivité de Madagascar sur la scène régionale et internationale. La DGD prévoit d’élaborer des recommandations ciblées pour chaque port et pour les différents acteurs de la chaîne logistique, dans un esprit de concertation et de respect des prérogatives de chacun.</w:t>
      </w:r>
    </w:p>
    <w:p w14:paraId="2FA8F9AF"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Pour la Douane malagasy, ce chantier stratégique va bien au-delà de la performance opérationnelle : il s’agit de repositionner Madagascar comme un hub logistique fiable et moderne dans l’océan Indien, capable d’attirer des investissements, de sécuriser ses frontières et de soutenir durablement la croissance économique.</w:t>
      </w:r>
    </w:p>
    <w:p w14:paraId="007F8DD0" w14:textId="77777777" w:rsidR="00E41785" w:rsidRPr="00E41785" w:rsidRDefault="00E41785" w:rsidP="00E41785">
      <w:pPr>
        <w:spacing w:line="240" w:lineRule="auto"/>
        <w:rPr>
          <w:rFonts w:eastAsia="Times New Roman" w:cstheme="minorHAnsi"/>
          <w:b/>
          <w:bCs/>
          <w:lang w:val="fr-FR" w:eastAsia="en-MG"/>
        </w:rPr>
      </w:pPr>
      <w:r w:rsidRPr="00E41785">
        <w:rPr>
          <w:rFonts w:eastAsia="Times New Roman" w:cstheme="minorHAnsi"/>
          <w:b/>
          <w:bCs/>
          <w:lang w:val="fr-FR" w:eastAsia="en-MG"/>
        </w:rPr>
        <w:t>La Douane malgache clarifie la procédure d’évaluation des engins d’occasion importés</w:t>
      </w:r>
    </w:p>
    <w:p w14:paraId="387012DE"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La Douane malagasy renforce son dispositif de contrôle et de transparence autour des importations de véhicules à usage spécial d’occasion. À travers son Service de la Valeur et de l’Origine, l’Administration rappelle que certains véhicules présentant des caractéristiques techniques proches des machines industrielles — tels que les engins de levage, de construction ou de forage — doivent faire l’objet d’une évaluation spécifique de leur valeur FOB (Free On Board). Cette démarche s’inscrit dans le cadre des dispositions réglementaires en vigueur et vise à garantir la justesse de la taxation ainsi que la fiabilité des opérations douanières.</w:t>
      </w:r>
    </w:p>
    <w:p w14:paraId="3E90B23B"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Conformément aux notes administratives de référence, la compétence pour déterminer la valeur FOB de ces engins relève exclusivement du Service de la Valeur et de l’Origine. Par conséquent, ces véhicules spécialisés ne sont pas soumis au contrôle d’identification des véhicules d’occasion (CIVIO) réalisé par la société GasyNet, un dispositif réservé aux véhicules standards tels que les voitures particulières ou utilitaires.</w:t>
      </w:r>
    </w:p>
    <w:p w14:paraId="50124FBC"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lastRenderedPageBreak/>
        <w:t>Cette précision intervient à la suite de confusions constatées dans la qualification de certains véhicules. La Douane souligne qu’un engin se définit avant tout par sa fonction : une machine conçue pour assister les travailleurs dans des tâches techniques ou lourdes. Même si certains véhicules peuvent partager des codes tarifaires identiques, leur nature technique doit primer afin d’assurer une classification correcte.</w:t>
      </w:r>
    </w:p>
    <w:p w14:paraId="6989B204"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Pour les importateurs et les opérateurs économiques, cette clarification est essentielle pour éviter toute incohérence dans le traitement douanier. La Douane invite chacun à examiner attentivement la nature des véhicules importés avant toute déclaration. En cas de doute, il est fortement recommandé de solliciter une confirmation préalable auprès du Service de la Valeur et de l’Origine, garant d’une évaluation juste et conforme aux normes internationales.</w:t>
      </w:r>
    </w:p>
    <w:p w14:paraId="627F31AC"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En rappelant ces règles, la Douane malagasy poursuit son objectif de sécuriser et de moderniser le commerce extérieur, tout en assurant un traitement équitable des marchandises et une meilleure fluidité pour les opérateurs respectueux des procédures.</w:t>
      </w:r>
    </w:p>
    <w:p w14:paraId="44A174BE" w14:textId="77777777" w:rsidR="00E41785" w:rsidRPr="00E41785" w:rsidRDefault="00E41785" w:rsidP="00E41785">
      <w:pPr>
        <w:spacing w:line="240" w:lineRule="auto"/>
        <w:rPr>
          <w:rFonts w:eastAsia="Times New Roman" w:cstheme="minorHAnsi"/>
          <w:b/>
          <w:bCs/>
          <w:lang w:val="fr-FR" w:eastAsia="en-MG"/>
        </w:rPr>
      </w:pPr>
      <w:r w:rsidRPr="00E41785">
        <w:rPr>
          <w:rFonts w:eastAsia="Times New Roman" w:cstheme="minorHAnsi"/>
          <w:b/>
          <w:bCs/>
          <w:lang w:val="fr-FR" w:eastAsia="en-MG"/>
        </w:rPr>
        <w:t>AGOA : Madagascar face à de nouveaux droits de douane américains</w:t>
      </w:r>
    </w:p>
    <w:p w14:paraId="01086E06" w14:textId="401690A0"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 xml:space="preserve">L’African Growth and Opportunity Act (AGOA), qui offrait un accès préférentiel au marché américain, a expiré le 30 septembre sans qu’aucune loi de renouvellement n’ait été adoptée. </w:t>
      </w:r>
      <w:r w:rsidRPr="00E41785">
        <w:rPr>
          <w:rFonts w:eastAsia="Times New Roman" w:cstheme="minorHAnsi"/>
          <w:lang w:val="fr-FR" w:eastAsia="en-MG"/>
        </w:rPr>
        <w:t>Les exportateurs malagasys</w:t>
      </w:r>
      <w:r w:rsidRPr="00E41785">
        <w:rPr>
          <w:rFonts w:eastAsia="Times New Roman" w:cstheme="minorHAnsi"/>
          <w:lang w:val="fr-FR" w:eastAsia="en-MG"/>
        </w:rPr>
        <w:t xml:space="preserve"> doivent désormais s’acquitter des droits de douane standards appliqués par les États-Unis, en attendant un éventuel vote du Congrès pour prolonger ou rétablir le dispositif.</w:t>
      </w:r>
    </w:p>
    <w:p w14:paraId="3B719D38"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Cette évolution représente un défi pour l’économie malagasy, qui voyait dans l’AGOA un levier essentiel pour soutenir ses ventes vers les États-Unis. La hausse immédiate des tarifs pourrait affecter la compétitivité des entreprises locales et fragiliser des filières entières tournées vers l’exportation.</w:t>
      </w:r>
    </w:p>
    <w:p w14:paraId="10A93A4D" w14:textId="77777777" w:rsidR="00E41785" w:rsidRPr="00E41785" w:rsidRDefault="00E41785" w:rsidP="00E41785">
      <w:pPr>
        <w:spacing w:line="240" w:lineRule="auto"/>
        <w:rPr>
          <w:rFonts w:eastAsia="Times New Roman" w:cstheme="minorHAnsi"/>
          <w:lang w:val="fr-FR" w:eastAsia="en-MG"/>
        </w:rPr>
      </w:pPr>
      <w:r w:rsidRPr="00E41785">
        <w:rPr>
          <w:rFonts w:eastAsia="Times New Roman" w:cstheme="minorHAnsi"/>
          <w:lang w:val="fr-FR" w:eastAsia="en-MG"/>
        </w:rPr>
        <w:t>Dans ce contexte, la Douane malagasy joue un rôle stratégique. Elle fournit au gouvernement des données précises sur les flux commerciaux et les impacts tarifaires, appuie la préparation technique des positions nationales dans les discussions internationales et accompagne les opérateurs pour sécuriser leurs déclarations et éviter les pénalités.</w:t>
      </w:r>
    </w:p>
    <w:p w14:paraId="57BB639F" w14:textId="472E4974" w:rsidR="00FB7D47" w:rsidRPr="00E41785" w:rsidRDefault="00E41785" w:rsidP="00E41785">
      <w:pPr>
        <w:spacing w:line="240" w:lineRule="auto"/>
        <w:rPr>
          <w:rFonts w:cstheme="minorHAnsi"/>
          <w:lang w:val="fr-FR"/>
        </w:rPr>
      </w:pPr>
      <w:r w:rsidRPr="00E41785">
        <w:rPr>
          <w:rFonts w:eastAsia="Times New Roman" w:cstheme="minorHAnsi"/>
          <w:lang w:val="fr-FR" w:eastAsia="en-MG"/>
        </w:rPr>
        <w:t>Si certains signaux encourageants laissent espérer un renouvellement prochain de l’AGOA, l’administration douanière demeure en première ligne pour défendre les intérêts du pays et maintenir la fluidité des échanges malgré l’incertitude actuelle.</w:t>
      </w:r>
    </w:p>
    <w:sectPr w:rsidR="00FB7D47" w:rsidRPr="00E41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47"/>
    <w:rsid w:val="002E3133"/>
    <w:rsid w:val="004A5991"/>
    <w:rsid w:val="005D46B3"/>
    <w:rsid w:val="00AD6B31"/>
    <w:rsid w:val="00E41785"/>
    <w:rsid w:val="00FB7D47"/>
  </w:rsids>
  <m:mathPr>
    <m:mathFont m:val="Cambria Math"/>
    <m:brkBin m:val="before"/>
    <m:brkBinSub m:val="--"/>
    <m:smallFrac m:val="0"/>
    <m:dispDef/>
    <m:lMargin m:val="0"/>
    <m:rMargin m:val="0"/>
    <m:defJc m:val="centerGroup"/>
    <m:wrapIndent m:val="1440"/>
    <m:intLim m:val="subSup"/>
    <m:naryLim m:val="undOvr"/>
  </m:mathPr>
  <w:themeFontLang w:val="en-M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2E59"/>
  <w15:chartTrackingRefBased/>
  <w15:docId w15:val="{9D018434-BC10-451F-8769-B77DB34F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7D47"/>
    <w:pPr>
      <w:spacing w:before="100" w:beforeAutospacing="1" w:after="100" w:afterAutospacing="1" w:line="240" w:lineRule="auto"/>
    </w:pPr>
    <w:rPr>
      <w:rFonts w:ascii="Times New Roman" w:eastAsia="Times New Roman" w:hAnsi="Times New Roman" w:cs="Times New Roman"/>
      <w:sz w:val="24"/>
      <w:szCs w:val="24"/>
      <w:lang w:eastAsia="en-MG"/>
    </w:rPr>
  </w:style>
  <w:style w:type="character" w:styleId="lev">
    <w:name w:val="Strong"/>
    <w:basedOn w:val="Policepardfaut"/>
    <w:uiPriority w:val="22"/>
    <w:qFormat/>
    <w:rsid w:val="00FB7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986</Words>
  <Characters>5424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Doda</dc:creator>
  <cp:keywords/>
  <dc:description/>
  <cp:lastModifiedBy>Alitiana HARIMALALA</cp:lastModifiedBy>
  <cp:revision>3</cp:revision>
  <dcterms:created xsi:type="dcterms:W3CDTF">2025-09-16T07:01:00Z</dcterms:created>
  <dcterms:modified xsi:type="dcterms:W3CDTF">2025-10-09T06:24:00Z</dcterms:modified>
</cp:coreProperties>
</file>